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line="276" w:lineRule="exact"/>
      </w:pPr>
      <w:r>
        <w:rPr>
          <w:rFonts w:ascii="Times New Roman" w:hAnsi="Times New Roman" w:cs="Times New Roman" w:eastAsia="Times New Roman"/>
          <w:b w:val="0"/>
          <w:i w:val="0"/>
          <w:sz w:val="24"/>
        </w:rPr>
        <w:t>À Madame / Monsieur le Juge des libertés et de la détention près le Tribunal judiciaire de [VILLE]</w:t>
      </w:r>
    </w:p>
    <w:p>
      <w:pPr>
        <w:spacing w:after="40"/>
        <w:jc w:val="center"/>
      </w:pPr>
      <w:r>
        <w:rPr>
          <w:rFonts w:ascii="Times New Roman" w:hAnsi="Times New Roman" w:cs="Times New Roman" w:eastAsia="Times New Roman"/>
          <w:b/>
          <w:i w:val="0"/>
          <w:sz w:val="32"/>
        </w:rPr>
        <w:t>NOTE D'OBSERVATIONS EN VUE DU DÉBAT CONTRADICTOIRE</w:t>
      </w:r>
    </w:p>
    <w:p>
      <w:pPr>
        <w:spacing w:after="240"/>
        <w:jc w:val="center"/>
      </w:pPr>
      <w:r>
        <w:rPr>
          <w:rFonts w:ascii="Times New Roman" w:hAnsi="Times New Roman" w:cs="Times New Roman" w:eastAsia="Times New Roman"/>
          <w:b w:val="0"/>
          <w:i w:val="0"/>
          <w:sz w:val="22"/>
        </w:rPr>
        <w:t>(articles 137, 137-3, 143-1, 144 et 145 du Code de procédure pénale)</w:t>
      </w:r>
    </w:p>
    <w:p>
      <w:pPr>
        <w:spacing w:after="120" w:line="276" w:lineRule="exact"/>
      </w:pPr>
      <w:r>
        <w:rPr>
          <w:rFonts w:ascii="Times New Roman" w:hAnsi="Times New Roman" w:cs="Times New Roman" w:eastAsia="Times New Roman"/>
          <w:b/>
          <w:i w:val="0"/>
          <w:sz w:val="24"/>
        </w:rPr>
        <w:t>POUR :</w:t>
      </w:r>
    </w:p>
    <w:p>
      <w:pPr>
        <w:spacing w:after="240" w:line="276" w:lineRule="exact"/>
      </w:pPr>
      <w:r>
        <w:rPr>
          <w:rFonts w:ascii="Times New Roman" w:hAnsi="Times New Roman" w:cs="Times New Roman" w:eastAsia="Times New Roman"/>
          <w:b w:val="0"/>
          <w:i w:val="0"/>
          <w:sz w:val="24"/>
        </w:rPr>
        <w:t>[Nom, prénom], né(e) le [date] à [lieu], demeurant [adresse], mis(e) en examen le [date] dans l'information judiciaire suivie sous le numéro [numéro] du chef de [qualification], déféré(e) devant vous sur ordonnance du juge d'instruction tendant à son placement en détention provisoire, ayant pour avocat Maître [Nom], avocat au barreau de [ville], [adresse].</w:t>
      </w:r>
    </w:p>
    <w:p>
      <w:pPr>
        <w:spacing w:after="240" w:line="276" w:lineRule="exact"/>
        <w:jc w:val="center"/>
      </w:pPr>
      <w:r>
        <w:rPr>
          <w:rFonts w:ascii="Times New Roman" w:hAnsi="Times New Roman" w:cs="Times New Roman" w:eastAsia="Times New Roman"/>
          <w:b/>
          <w:i w:val="0"/>
          <w:sz w:val="24"/>
        </w:rPr>
        <w:t>PLAISE À MONSIEUR LE JUGE DES LIBERTÉS ET DE LA DÉTENTION</w:t>
      </w:r>
    </w:p>
    <w:p>
      <w:pPr>
        <w:pStyle w:val="Heading1"/>
        <w:spacing w:before="240" w:after="120"/>
      </w:pPr>
      <w:r>
        <w:rPr>
          <w:rFonts w:ascii="Times New Roman" w:hAnsi="Times New Roman" w:cs="Times New Roman" w:eastAsia="Times New Roman"/>
          <w:b/>
          <w:i w:val="0"/>
          <w:color w:val="000000"/>
          <w:sz w:val="28"/>
        </w:rPr>
        <w:t>I. Rappel de la procédure</w:t>
      </w:r>
    </w:p>
    <w:p>
      <w:pPr>
        <w:spacing w:after="240" w:line="276" w:lineRule="exact"/>
      </w:pPr>
      <w:r>
        <w:rPr>
          <w:rFonts w:ascii="Times New Roman" w:hAnsi="Times New Roman" w:cs="Times New Roman" w:eastAsia="Times New Roman"/>
          <w:b w:val="0"/>
          <w:i w:val="0"/>
          <w:sz w:val="24"/>
        </w:rPr>
        <w:t>[Exposé chronologique et strictement factuel : date et cadre de l'interpellation, garde à vue et sa durée, interrogatoire de première comparution, mise en examen, réquisitions du procureur de la République, ordonnance de saisine du juge des libertés et de la détention. Renvoyer aux cotes.]</w:t>
      </w:r>
    </w:p>
    <w:p>
      <w:pPr>
        <w:pStyle w:val="Heading1"/>
        <w:spacing w:before="240" w:after="120"/>
      </w:pPr>
      <w:r>
        <w:rPr>
          <w:rFonts w:ascii="Times New Roman" w:hAnsi="Times New Roman" w:cs="Times New Roman" w:eastAsia="Times New Roman"/>
          <w:b/>
          <w:i w:val="0"/>
          <w:color w:val="000000"/>
          <w:sz w:val="28"/>
        </w:rPr>
        <w:t>II. À titre liminaire, sur le déroulement du débat</w:t>
      </w:r>
    </w:p>
    <w:p>
      <w:pPr>
        <w:pStyle w:val="Heading2"/>
        <w:spacing w:before="240" w:after="120"/>
      </w:pPr>
      <w:r>
        <w:rPr>
          <w:rFonts w:ascii="Times New Roman" w:hAnsi="Times New Roman" w:cs="Times New Roman" w:eastAsia="Times New Roman"/>
          <w:b/>
          <w:i w:val="0"/>
          <w:color w:val="000000"/>
          <w:sz w:val="24"/>
        </w:rPr>
        <w:t>A. Sur la mise à disposition du dossier</w:t>
      </w:r>
    </w:p>
    <w:p>
      <w:pPr>
        <w:spacing w:after="240" w:line="276" w:lineRule="exact"/>
      </w:pPr>
      <w:r>
        <w:rPr>
          <w:rFonts w:ascii="Times New Roman" w:hAnsi="Times New Roman" w:cs="Times New Roman" w:eastAsia="Times New Roman"/>
          <w:b w:val="0"/>
          <w:i w:val="0"/>
          <w:sz w:val="24"/>
        </w:rPr>
        <w:t>Il se déduit des articles 116, 137-1 et 145 du Code de procédure pénale que la procédure mise à la disposition de l'avocat en vue du débat contradictoire doit, à peine de nullité, être complète et porter sur toutes les pièces de la procédure en l'état où elle se trouve au moment de la transmission du dossier par le juge d'instruction au juge des libertés et de la détention.</w:t>
      </w:r>
    </w:p>
    <w:p>
      <w:pPr>
        <w:spacing w:after="240" w:line="276" w:lineRule="exact"/>
      </w:pPr>
      <w:r>
        <w:rPr>
          <w:rFonts w:ascii="Times New Roman" w:hAnsi="Times New Roman" w:cs="Times New Roman" w:eastAsia="Times New Roman"/>
          <w:b w:val="0"/>
          <w:i w:val="0"/>
          <w:sz w:val="24"/>
        </w:rPr>
        <w:t>[Le cas échéant : relever précisément les pièces manquantes et faire constater l'incomplétude au procès-verbal de débat. Ce constat conditionne l'exploitation ultérieure du moyen.]</w:t>
      </w:r>
    </w:p>
    <w:p>
      <w:pPr>
        <w:pStyle w:val="Heading2"/>
        <w:spacing w:before="240" w:after="120"/>
      </w:pPr>
      <w:r>
        <w:rPr>
          <w:rFonts w:ascii="Times New Roman" w:hAnsi="Times New Roman" w:cs="Times New Roman" w:eastAsia="Times New Roman"/>
          <w:b/>
          <w:i w:val="0"/>
          <w:color w:val="000000"/>
          <w:sz w:val="24"/>
        </w:rPr>
        <w:t>B. Sur la demande de délai pour préparer la défense</w:t>
      </w:r>
    </w:p>
    <w:p>
      <w:pPr>
        <w:spacing w:after="240" w:line="276" w:lineRule="exact"/>
      </w:pPr>
      <w:r>
        <w:rPr>
          <w:rFonts w:ascii="Times New Roman" w:hAnsi="Times New Roman" w:cs="Times New Roman" w:eastAsia="Times New Roman"/>
          <w:b w:val="0"/>
          <w:i w:val="0"/>
          <w:sz w:val="24"/>
        </w:rPr>
        <w:t>L'article 145 ouvre à la personne mise en examen le droit de demander un délai pour préparer sa défense. Le juge ne peut alors ordonner immédiatement le placement en détention. L'incarcération provisoire qu'il peut prescrire par ordonnance motivée ne peut excéder quatre jours ouvrables, et la personne est mise en liberté d'office si la détention n'est pas ordonnée à l'issue du nouveau débat.</w:t>
      </w:r>
    </w:p>
    <w:p>
      <w:pPr>
        <w:spacing w:after="240" w:line="276" w:lineRule="exact"/>
      </w:pPr>
      <w:r>
        <w:rPr>
          <w:rFonts w:ascii="Times New Roman" w:hAnsi="Times New Roman" w:cs="Times New Roman" w:eastAsia="Times New Roman"/>
          <w:b w:val="0"/>
          <w:i w:val="0"/>
          <w:sz w:val="24"/>
        </w:rPr>
        <w:t>[Option à arbitrer selon la stratégie : le délai permet de préparer des garanties documentées, au prix d'une incarcération provisoire.]</w:t>
      </w:r>
    </w:p>
    <w:p>
      <w:pPr>
        <w:pStyle w:val="Heading2"/>
        <w:spacing w:before="240" w:after="120"/>
      </w:pPr>
      <w:r>
        <w:rPr>
          <w:rFonts w:ascii="Times New Roman" w:hAnsi="Times New Roman" w:cs="Times New Roman" w:eastAsia="Times New Roman"/>
          <w:b/>
          <w:i w:val="0"/>
          <w:color w:val="000000"/>
          <w:sz w:val="24"/>
        </w:rPr>
        <w:t>C. Sur la publicité du débat</w:t>
      </w:r>
    </w:p>
    <w:p>
      <w:pPr>
        <w:spacing w:after="240" w:line="276" w:lineRule="exact"/>
      </w:pPr>
      <w:r>
        <w:rPr>
          <w:rFonts w:ascii="Times New Roman" w:hAnsi="Times New Roman" w:cs="Times New Roman" w:eastAsia="Times New Roman"/>
          <w:b w:val="0"/>
          <w:i w:val="0"/>
          <w:sz w:val="24"/>
        </w:rPr>
        <w:t>Lorsque la personne mise en examen est majeure et que le droit de se taire lui a été notifié, le débat contradictoire a lieu et le juge statue en audience publique. Le ministère public, la personne mise en examen ou son avocat peuvent s'opposer à cette publicité dans les cas prévus par l'article 145, notamment lorsqu'elle porterait atteinte à la présomption d'innocence ou à la sérénité des débats.</w:t>
      </w:r>
    </w:p>
    <w:p>
      <w:pPr>
        <w:spacing w:after="240" w:line="276" w:lineRule="exact"/>
      </w:pPr>
      <w:r>
        <w:rPr>
          <w:rFonts w:ascii="Times New Roman" w:hAnsi="Times New Roman" w:cs="Times New Roman" w:eastAsia="Times New Roman"/>
          <w:b w:val="0"/>
          <w:i w:val="0"/>
          <w:sz w:val="24"/>
        </w:rPr>
        <w:t>[Le cas échéant, formuler l'opposition et la motiver.]</w:t>
      </w:r>
    </w:p>
    <w:p>
      <w:pPr>
        <w:pStyle w:val="Heading1"/>
        <w:spacing w:before="240" w:after="120"/>
      </w:pPr>
      <w:r>
        <w:rPr>
          <w:rFonts w:ascii="Times New Roman" w:hAnsi="Times New Roman" w:cs="Times New Roman" w:eastAsia="Times New Roman"/>
          <w:b/>
          <w:i w:val="0"/>
          <w:color w:val="000000"/>
          <w:sz w:val="28"/>
        </w:rPr>
        <w:t>III. Discussion</w:t>
      </w:r>
    </w:p>
    <w:p>
      <w:pPr>
        <w:pStyle w:val="Heading2"/>
        <w:spacing w:before="240" w:after="120"/>
      </w:pPr>
      <w:r>
        <w:rPr>
          <w:rFonts w:ascii="Times New Roman" w:hAnsi="Times New Roman" w:cs="Times New Roman" w:eastAsia="Times New Roman"/>
          <w:b/>
          <w:i w:val="0"/>
          <w:color w:val="000000"/>
          <w:sz w:val="24"/>
        </w:rPr>
        <w:t>A. Sur les conditions légales du placement</w:t>
      </w:r>
    </w:p>
    <w:p>
      <w:pPr>
        <w:spacing w:after="240" w:line="276" w:lineRule="exact"/>
      </w:pPr>
      <w:r>
        <w:rPr>
          <w:rFonts w:ascii="Times New Roman" w:hAnsi="Times New Roman" w:cs="Times New Roman" w:eastAsia="Times New Roman"/>
          <w:b w:val="0"/>
          <w:i w:val="0"/>
          <w:sz w:val="24"/>
        </w:rPr>
        <w:t>[Vérifier la peine encourue au regard de l'article 143-1 : peine criminelle, ou peine correctionnelle égale ou supérieure à trois ans d'emprisonnement. Discuter, le cas échéant, la qualification retenue lorsqu'elle commande le seuil.]</w:t>
      </w:r>
    </w:p>
    <w:p>
      <w:pPr>
        <w:pStyle w:val="Heading2"/>
        <w:spacing w:before="240" w:after="120"/>
      </w:pPr>
      <w:r>
        <w:rPr>
          <w:rFonts w:ascii="Times New Roman" w:hAnsi="Times New Roman" w:cs="Times New Roman" w:eastAsia="Times New Roman"/>
          <w:b/>
          <w:i w:val="0"/>
          <w:color w:val="000000"/>
          <w:sz w:val="24"/>
        </w:rPr>
        <w:t>B. Sur l'absence de nécessité au regard de l'article 144</w:t>
      </w:r>
    </w:p>
    <w:p>
      <w:pPr>
        <w:spacing w:after="240" w:line="276" w:lineRule="exact"/>
      </w:pPr>
      <w:r>
        <w:rPr>
          <w:rFonts w:ascii="Times New Roman" w:hAnsi="Times New Roman" w:cs="Times New Roman" w:eastAsia="Times New Roman"/>
          <w:b w:val="0"/>
          <w:i w:val="0"/>
          <w:sz w:val="24"/>
        </w:rPr>
        <w:t>La détention provisoire ne peut être ordonnée que s'il est démontré, au regard d'éléments précis et circonstanciés résultant de la procédure, qu'elle constitue l'unique moyen de parvenir à l'un des objectifs de l'article 144, et que ces objectifs ne sauraient être atteints par un contrôle judiciaire ou une assignation à résidence avec surveillance électronique.</w:t>
      </w:r>
    </w:p>
    <w:p>
      <w:pPr>
        <w:spacing w:after="240" w:line="276" w:lineRule="exact"/>
      </w:pPr>
      <w:r>
        <w:rPr>
          <w:rFonts w:ascii="Times New Roman" w:hAnsi="Times New Roman" w:cs="Times New Roman" w:eastAsia="Times New Roman"/>
          <w:b w:val="0"/>
          <w:i w:val="0"/>
          <w:sz w:val="24"/>
        </w:rPr>
        <w:t>[Reprendre les seuls objectifs visés par les réquisitions et par l'ordonnance de saisine, et les discuter un à un, en visant les cotes. Rappeler que le 7° (trouble exceptionnel et persistant à l'ordre public) n'est pas applicable en matière correctionnelle.]</w:t>
      </w:r>
    </w:p>
    <w:p>
      <w:pPr>
        <w:pStyle w:val="Heading2"/>
        <w:spacing w:before="240" w:after="120"/>
      </w:pPr>
      <w:r>
        <w:rPr>
          <w:rFonts w:ascii="Times New Roman" w:hAnsi="Times New Roman" w:cs="Times New Roman" w:eastAsia="Times New Roman"/>
          <w:b/>
          <w:i w:val="0"/>
          <w:color w:val="000000"/>
          <w:sz w:val="24"/>
        </w:rPr>
        <w:t>C. Sur le caractère suffisant des mesures alternatives</w:t>
      </w:r>
    </w:p>
    <w:p>
      <w:pPr>
        <w:spacing w:after="240" w:line="276" w:lineRule="exact"/>
      </w:pPr>
      <w:r>
        <w:rPr>
          <w:rFonts w:ascii="Times New Roman" w:hAnsi="Times New Roman" w:cs="Times New Roman" w:eastAsia="Times New Roman"/>
          <w:b w:val="0"/>
          <w:i w:val="0"/>
          <w:sz w:val="24"/>
        </w:rPr>
        <w:t>L'article 137-3 impose que l'ordonnance énonce les considérations de droit et de fait sur le caractère insuffisant des obligations du contrôle judiciaire ou de l'assignation à résidence avec surveillance électronique, et motive la détention par référence aux seules dispositions des articles 143-1 et 144.</w:t>
      </w:r>
    </w:p>
    <w:p>
      <w:pPr>
        <w:spacing w:after="240" w:line="276" w:lineRule="exact"/>
      </w:pPr>
      <w:r>
        <w:rPr>
          <w:rFonts w:ascii="Times New Roman" w:hAnsi="Times New Roman" w:cs="Times New Roman" w:eastAsia="Times New Roman"/>
          <w:b w:val="0"/>
          <w:i w:val="0"/>
          <w:sz w:val="24"/>
        </w:rPr>
        <w:t>[Proposer un contrôle judiciaire construit sur mesure, dont chaque obligation neutralise un risque allégué. Une proposition précise et documentée oblige le juge à s'expliquer sur son insuffisance.]</w:t>
      </w:r>
    </w:p>
    <w:p>
      <w:pPr>
        <w:pStyle w:val="Heading1"/>
        <w:spacing w:before="240" w:after="120"/>
      </w:pPr>
      <w:r>
        <w:rPr>
          <w:rFonts w:ascii="Times New Roman" w:hAnsi="Times New Roman" w:cs="Times New Roman" w:eastAsia="Times New Roman"/>
          <w:b/>
          <w:i w:val="0"/>
          <w:color w:val="000000"/>
          <w:sz w:val="28"/>
        </w:rPr>
        <w:t>IV. Sur les garanties offertes</w:t>
      </w:r>
    </w:p>
    <w:p>
      <w:pPr>
        <w:spacing w:after="240" w:line="276" w:lineRule="exact"/>
      </w:pPr>
      <w:r>
        <w:rPr>
          <w:rFonts w:ascii="Times New Roman" w:hAnsi="Times New Roman" w:cs="Times New Roman" w:eastAsia="Times New Roman"/>
          <w:b w:val="0"/>
          <w:i w:val="0"/>
          <w:sz w:val="24"/>
        </w:rPr>
        <w:t>[Domicile, activité professionnelle, situation familiale, absence d'antécédent, prise en charge médicale ou sociale, cautionnement. Joindre les justificatifs et les viser par numéro. Les garanties produites au débat pèsent davantage que celles annoncées.]</w:t>
      </w:r>
    </w:p>
    <w:p>
      <w:pPr>
        <w:spacing w:after="120" w:before="240" w:line="276" w:lineRule="exact"/>
        <w:jc w:val="center"/>
      </w:pPr>
      <w:r>
        <w:rPr>
          <w:rFonts w:ascii="Times New Roman" w:hAnsi="Times New Roman" w:cs="Times New Roman" w:eastAsia="Times New Roman"/>
          <w:b/>
          <w:i w:val="0"/>
          <w:sz w:val="24"/>
        </w:rPr>
        <w:t>PAR CES MOTIFS</w:t>
      </w:r>
    </w:p>
    <w:p>
      <w:pPr>
        <w:spacing w:after="240" w:line="276" w:lineRule="exact"/>
      </w:pPr>
      <w:r>
        <w:rPr>
          <w:rFonts w:ascii="Times New Roman" w:hAnsi="Times New Roman" w:cs="Times New Roman" w:eastAsia="Times New Roman"/>
          <w:b w:val="0"/>
          <w:i w:val="0"/>
          <w:sz w:val="24"/>
        </w:rPr>
        <w:t>Vu les articles 116, 137, 137-1, 137-3, 138, 143-1, 144 et 145 du Code de procédure pénale,</w:t>
      </w:r>
    </w:p>
    <w:p>
      <w:pPr>
        <w:spacing w:after="240" w:line="276" w:lineRule="exact"/>
      </w:pPr>
      <w:r>
        <w:rPr>
          <w:rFonts w:ascii="Times New Roman" w:hAnsi="Times New Roman" w:cs="Times New Roman" w:eastAsia="Times New Roman"/>
          <w:b w:val="0"/>
          <w:i w:val="0"/>
          <w:sz w:val="24"/>
        </w:rPr>
        <w:t>[La personne mise en examen] sollicite qu'il plaise :</w:t>
      </w:r>
    </w:p>
    <w:p>
      <w:pPr>
        <w:pStyle w:val="ListParagraph"/>
        <w:spacing w:after="60"/>
        <w:ind w:left="360"/>
      </w:pPr>
      <w:r>
        <w:rPr>
          <w:rFonts w:ascii="Times New Roman" w:hAnsi="Times New Roman" w:cs="Times New Roman" w:eastAsia="Times New Roman"/>
          <w:b w:val="0"/>
          <w:i w:val="0"/>
          <w:sz w:val="24"/>
        </w:rPr>
        <w:t>• DIRE n'y avoir lieu au placement en détention provisoire ;</w:t>
      </w:r>
    </w:p>
    <w:p>
      <w:pPr>
        <w:pStyle w:val="ListParagraph"/>
        <w:spacing w:after="60"/>
        <w:ind w:left="360"/>
      </w:pPr>
      <w:r>
        <w:rPr>
          <w:rFonts w:ascii="Times New Roman" w:hAnsi="Times New Roman" w:cs="Times New Roman" w:eastAsia="Times New Roman"/>
          <w:b w:val="0"/>
          <w:i w:val="0"/>
          <w:sz w:val="24"/>
        </w:rPr>
        <w:t>• À titre subsidiaire, ORDONNER un placement sous contrôle judiciaire assorti des obligations suivantes : [liste précise, par référence aux 1° et suivants de l'article 138] ;</w:t>
      </w:r>
    </w:p>
    <w:p>
      <w:pPr>
        <w:pStyle w:val="ListParagraph"/>
        <w:spacing w:after="60"/>
        <w:ind w:left="360"/>
      </w:pPr>
      <w:r>
        <w:rPr>
          <w:rFonts w:ascii="Times New Roman" w:hAnsi="Times New Roman" w:cs="Times New Roman" w:eastAsia="Times New Roman"/>
          <w:b w:val="0"/>
          <w:i w:val="0"/>
          <w:sz w:val="24"/>
        </w:rPr>
        <w:t>• À titre infiniment subsidiaire, ORDONNER une assignation à résidence avec surveillance électronique à l'adresse suivante : [adresse].</w:t>
      </w:r>
    </w:p>
    <w:p>
      <w:pPr>
        <w:spacing w:after="240" w:line="276" w:lineRule="exact"/>
      </w:pPr>
      <w:r>
        <w:rPr>
          <w:rFonts w:ascii="Times New Roman" w:hAnsi="Times New Roman" w:cs="Times New Roman" w:eastAsia="Times New Roman"/>
          <w:b w:val="0"/>
          <w:i w:val="0"/>
          <w:sz w:val="24"/>
        </w:rPr>
        <w:t>Sous toutes réserves.</w:t>
      </w:r>
    </w:p>
    <w:p>
      <w:pPr>
        <w:spacing w:after="240" w:line="276" w:lineRule="exact"/>
      </w:pPr>
      <w:r>
        <w:rPr>
          <w:rFonts w:ascii="Times New Roman" w:hAnsi="Times New Roman" w:cs="Times New Roman" w:eastAsia="Times New Roman"/>
          <w:b w:val="0"/>
          <w:i w:val="0"/>
          <w:sz w:val="24"/>
        </w:rPr>
        <w:t>Fait à [ville], le [date].</w:t>
      </w:r>
    </w:p>
    <w:p>
      <w:pPr>
        <w:spacing w:after="0"/>
      </w:pPr>
      <w:r>
        <w:rPr>
          <w:rFonts w:ascii="Times New Roman" w:hAnsi="Times New Roman" w:cs="Times New Roman" w:eastAsia="Times New Roman"/>
          <w:b w:val="0"/>
          <w:i w:val="0"/>
          <w:sz w:val="24"/>
        </w:rPr>
        <w:t>Maître [Nom]</w:t>
      </w:r>
    </w:p>
    <w:p>
      <w:pPr>
        <w:spacing w:after="240"/>
      </w:pPr>
      <w:r>
        <w:rPr>
          <w:rFonts w:ascii="Times New Roman" w:hAnsi="Times New Roman" w:cs="Times New Roman" w:eastAsia="Times New Roman"/>
          <w:b w:val="0"/>
          <w:i w:val="0"/>
          <w:sz w:val="24"/>
        </w:rPr>
        <w:t>Avocat au barreau de [ville]</w:t>
      </w:r>
    </w:p>
    <w:p>
      <w:pPr>
        <w:spacing w:after="40" w:before="120" w:line="276" w:lineRule="exact"/>
        <w:pBdr>
          <w:top w:val="single" w:color="888888" w:sz="6" w:space="8"/>
          <w:left w:val="single" w:color="888888" w:sz="6" w:space="8"/>
          <w:bottom w:val="single" w:color="888888" w:sz="6" w:space="8"/>
          <w:right w:val="single" w:color="888888" w:sz="6" w:space="8"/>
        </w:pBdr>
      </w:pPr>
      <w:r>
        <w:rPr>
          <w:rFonts w:ascii="Times New Roman" w:hAnsi="Times New Roman" w:cs="Times New Roman" w:eastAsia="Times New Roman"/>
          <w:b/>
          <w:i w:val="0"/>
          <w:sz w:val="22"/>
        </w:rPr>
        <w:t>À vérifier au débat (points de contrôle)</w:t>
      </w:r>
    </w:p>
    <w:p>
      <w:pPr>
        <w:pStyle w:val="ListParagraph"/>
        <w:spacing w:after="60"/>
        <w:ind w:left="360"/>
      </w:pPr>
      <w:r>
        <w:rPr>
          <w:rFonts w:ascii="Times New Roman" w:hAnsi="Times New Roman" w:cs="Times New Roman" w:eastAsia="Times New Roman"/>
          <w:b w:val="0"/>
          <w:i w:val="0"/>
          <w:sz w:val="22"/>
        </w:rPr>
        <w:t>• Dossier mis à disposition complet en vue du débat, à peine de nullité (art. 116, 137-1 et 145). Faire constater toute pièce manquante au procès-verbal.</w:t>
      </w:r>
    </w:p>
    <w:p>
      <w:pPr>
        <w:pStyle w:val="ListParagraph"/>
        <w:spacing w:after="60"/>
        <w:ind w:left="360"/>
      </w:pPr>
      <w:r>
        <w:rPr>
          <w:rFonts w:ascii="Times New Roman" w:hAnsi="Times New Roman" w:cs="Times New Roman" w:eastAsia="Times New Roman"/>
          <w:b w:val="0"/>
          <w:i w:val="0"/>
          <w:sz w:val="22"/>
        </w:rPr>
        <w:t>• Notification du droit de se taire sur les faits reprochés.</w:t>
      </w:r>
    </w:p>
    <w:p>
      <w:pPr>
        <w:pStyle w:val="ListParagraph"/>
        <w:spacing w:after="60"/>
        <w:ind w:left="360"/>
      </w:pPr>
      <w:r>
        <w:rPr>
          <w:rFonts w:ascii="Times New Roman" w:hAnsi="Times New Roman" w:cs="Times New Roman" w:eastAsia="Times New Roman"/>
          <w:b w:val="0"/>
          <w:i w:val="0"/>
          <w:sz w:val="22"/>
        </w:rPr>
        <w:t>• Information sur le droit de demander un délai pour préparer sa défense.</w:t>
      </w:r>
    </w:p>
    <w:p>
      <w:pPr>
        <w:pStyle w:val="ListParagraph"/>
        <w:spacing w:after="60"/>
        <w:ind w:left="360"/>
      </w:pPr>
      <w:r>
        <w:rPr>
          <w:rFonts w:ascii="Times New Roman" w:hAnsi="Times New Roman" w:cs="Times New Roman" w:eastAsia="Times New Roman"/>
          <w:b w:val="0"/>
          <w:i w:val="0"/>
          <w:sz w:val="22"/>
        </w:rPr>
        <w:t>• Incarcération provisoire limitée à quatre jours ouvrables, que le délai soit demandé par la défense ou décidé d'office pour vérifications.</w:t>
      </w:r>
    </w:p>
    <w:p>
      <w:pPr>
        <w:pStyle w:val="ListParagraph"/>
        <w:spacing w:after="60"/>
        <w:ind w:left="360"/>
      </w:pPr>
      <w:r>
        <w:rPr>
          <w:rFonts w:ascii="Times New Roman" w:hAnsi="Times New Roman" w:cs="Times New Roman" w:eastAsia="Times New Roman"/>
          <w:b w:val="0"/>
          <w:i w:val="0"/>
          <w:sz w:val="22"/>
        </w:rPr>
        <w:t>• Publicité du débat, ou opposition motivée et ordonnance statuant sur celle-ci.</w:t>
      </w:r>
    </w:p>
    <w:p>
      <w:pPr>
        <w:pStyle w:val="ListParagraph"/>
        <w:spacing w:after="60"/>
        <w:ind w:left="360"/>
      </w:pPr>
      <w:r>
        <w:rPr>
          <w:rFonts w:ascii="Times New Roman" w:hAnsi="Times New Roman" w:cs="Times New Roman" w:eastAsia="Times New Roman"/>
          <w:b w:val="0"/>
          <w:i w:val="0"/>
          <w:sz w:val="22"/>
        </w:rPr>
        <w:t>• L'ordonnance doit motiver l'insuffisance du contrôle judiciaire et de l'ARSE, et viser les seules dispositions des articles 143-1 et 144 (art. 137-3).</w:t>
      </w:r>
    </w:p>
    <w:p>
      <w:pPr>
        <w:pStyle w:val="ListParagraph"/>
        <w:spacing w:after="60"/>
        <w:ind w:left="360"/>
      </w:pPr>
      <w:r>
        <w:rPr>
          <w:rFonts w:ascii="Times New Roman" w:hAnsi="Times New Roman" w:cs="Times New Roman" w:eastAsia="Times New Roman"/>
          <w:b w:val="0"/>
          <w:i w:val="0"/>
          <w:sz w:val="22"/>
        </w:rPr>
        <w:t>• Recours contre l'ordonnance d'incarcération provisoire décidée d'office : article 187-1.</w:t>
      </w:r>
    </w:p>
    <w:p>
      <w:pPr>
        <w:spacing w:after="0" w:before="200" w:line="276" w:lineRule="exact"/>
      </w:pPr>
      <w:r>
        <w:rPr>
          <w:rFonts w:ascii="Times New Roman" w:hAnsi="Times New Roman" w:cs="Times New Roman" w:eastAsia="Times New Roman"/>
          <w:b w:val="0"/>
          <w:i/>
          <w:color w:val="777777"/>
          <w:sz w:val="18"/>
        </w:rPr>
        <w:t>Trame proposée par Lexium, à adapter à chaque dossier. Elle ne dispense pas de l'appréciation du praticien. lexium-app.com</w:t>
      </w:r>
    </w:p>
    <w:sectPr>
      <w:pgSz w:w="11906" w:h="16838" w:orient="portrait"/>
      <w:pgMar w:top="1134" w:right="1418"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Times New Roman" w:cs="Times New Roman" w:eastAsia="Times New Roman" w:hAnsi="Times New Roman"/>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120" w:before="240"/>
    </w:pPr>
    <w:rPr>
      <w:rFonts w:ascii="Times New Roman" w:cs="Times New Roman" w:eastAsia="Times New Roman" w:hAnsi="Times New Roman"/>
      <w:b/>
      <w:bCs/>
      <w:color w:val="000000"/>
      <w:sz w:val="28"/>
      <w:szCs w:val="28"/>
    </w:rPr>
  </w:style>
  <w:style w:type="paragraph" w:styleId="Heading2">
    <w:name w:val="Heading 2"/>
    <w:basedOn w:val="Normal"/>
    <w:next w:val="Normal"/>
    <w:qFormat/>
    <w:pPr>
      <w:spacing w:after="80" w:before="160"/>
    </w:pPr>
    <w:rPr>
      <w:rFonts w:ascii="Times New Roman" w:cs="Times New Roman" w:eastAsia="Times New Roman" w:hAnsi="Times New Roman"/>
      <w:b/>
      <w:bCs/>
      <w:color w:val="000000"/>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2026-07-13T16:43:40.041Z</dcterms:created>
  <dcterms:modified xsi:type="dcterms:W3CDTF">2026-07-13T16:43:40.053Z</dcterms:modified>
</cp:coreProperties>
</file>

<file path=docProps/custom.xml><?xml version="1.0" encoding="utf-8"?>
<Properties xmlns="http://schemas.openxmlformats.org/officeDocument/2006/custom-properties" xmlns:vt="http://schemas.openxmlformats.org/officeDocument/2006/docPropsVTypes"/>
</file>