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line="276" w:lineRule="exact"/>
      </w:pPr>
      <w:r>
        <w:rPr>
          <w:rFonts w:ascii="Times New Roman" w:hAnsi="Times New Roman" w:cs="Times New Roman" w:eastAsia="Times New Roman"/>
          <w:b w:val="0"/>
          <w:i w:val="0"/>
          <w:sz w:val="24"/>
        </w:rPr>
        <w:t>À Madame / Monsieur le Juge d'instruction près le Tribunal judiciaire de [VILLE]</w:t>
      </w:r>
    </w:p>
    <w:p>
      <w:pPr>
        <w:spacing w:after="40"/>
        <w:jc w:val="center"/>
      </w:pPr>
      <w:r>
        <w:rPr>
          <w:rFonts w:ascii="Times New Roman" w:hAnsi="Times New Roman" w:cs="Times New Roman" w:eastAsia="Times New Roman"/>
          <w:b/>
          <w:i w:val="0"/>
          <w:sz w:val="32"/>
        </w:rPr>
        <w:t>DEMANDE DE MISE EN LIBERTÉ</w:t>
      </w:r>
    </w:p>
    <w:p>
      <w:pPr>
        <w:spacing w:after="240"/>
        <w:jc w:val="center"/>
      </w:pPr>
      <w:r>
        <w:rPr>
          <w:rFonts w:ascii="Times New Roman" w:hAnsi="Times New Roman" w:cs="Times New Roman" w:eastAsia="Times New Roman"/>
          <w:b w:val="0"/>
          <w:i w:val="0"/>
          <w:sz w:val="22"/>
        </w:rPr>
        <w:t>(articles 137, 143-1, 144, 144-1, 148 et 148-6 du Code de procédure pénale)</w:t>
      </w:r>
    </w:p>
    <w:p>
      <w:pPr>
        <w:spacing w:after="120" w:line="276" w:lineRule="exact"/>
      </w:pPr>
      <w:r>
        <w:rPr>
          <w:rFonts w:ascii="Times New Roman" w:hAnsi="Times New Roman" w:cs="Times New Roman" w:eastAsia="Times New Roman"/>
          <w:b/>
          <w:i w:val="0"/>
          <w:sz w:val="24"/>
        </w:rPr>
        <w:t>POUR :</w:t>
      </w:r>
    </w:p>
    <w:p>
      <w:pPr>
        <w:spacing w:after="240" w:line="276" w:lineRule="exact"/>
      </w:pPr>
      <w:r>
        <w:rPr>
          <w:rFonts w:ascii="Times New Roman" w:hAnsi="Times New Roman" w:cs="Times New Roman" w:eastAsia="Times New Roman"/>
          <w:b w:val="0"/>
          <w:i w:val="0"/>
          <w:sz w:val="24"/>
        </w:rPr>
        <w:t>[Nom, prénom], né(e) le [date] à [lieu], actuellement détenu(e) au centre pénitentiaire de [établissement] sous le numéro d'écrou [numéro], mis(e) en examen dans l'information judiciaire suivie sous le numéro [numéro] du chef de [qualification], ayant pour avocat Maître [Nom], avocat au barreau de [ville], [adresse].</w:t>
      </w:r>
    </w:p>
    <w:p>
      <w:pPr>
        <w:spacing w:after="240" w:line="276" w:lineRule="exact"/>
        <w:jc w:val="center"/>
      </w:pPr>
      <w:r>
        <w:rPr>
          <w:rFonts w:ascii="Times New Roman" w:hAnsi="Times New Roman" w:cs="Times New Roman" w:eastAsia="Times New Roman"/>
          <w:b/>
          <w:i w:val="0"/>
          <w:sz w:val="24"/>
        </w:rPr>
        <w:t>PLAISE À MONSIEUR LE JUGE D'INSTRUCTION,</w:t>
        <w:br/>
        <w:t>ET, LE CAS ÉCHÉANT, À MONSIEUR LE JUGE DES LIBERTÉS ET DE LA DÉTENTION</w:t>
      </w:r>
    </w:p>
    <w:p>
      <w:pPr>
        <w:pStyle w:val="Heading1"/>
        <w:spacing w:before="240" w:after="120"/>
      </w:pPr>
      <w:r>
        <w:rPr>
          <w:rFonts w:ascii="Times New Roman" w:hAnsi="Times New Roman" w:cs="Times New Roman" w:eastAsia="Times New Roman"/>
          <w:b/>
          <w:i w:val="0"/>
          <w:color w:val="000000"/>
          <w:sz w:val="28"/>
        </w:rPr>
        <w:t>I. Rappel de la procédure et de la détention</w:t>
      </w:r>
    </w:p>
    <w:p>
      <w:pPr>
        <w:spacing w:after="240" w:line="276" w:lineRule="exact"/>
      </w:pPr>
      <w:r>
        <w:rPr>
          <w:rFonts w:ascii="Times New Roman" w:hAnsi="Times New Roman" w:cs="Times New Roman" w:eastAsia="Times New Roman"/>
          <w:b w:val="0"/>
          <w:i w:val="0"/>
          <w:sz w:val="24"/>
        </w:rPr>
        <w:t>[Exposé chronologique des seuls éléments utiles : date de la mise en examen, date du placement en détention provisoire, titre de détention en cours et sa date d'expiration, durée de détention déjà subie, dernière décision rendue en matière de détention et motifs retenus, actes d'instruction accomplis depuis. Renvoyer aux cotes.]</w:t>
      </w:r>
    </w:p>
    <w:p>
      <w:pPr>
        <w:spacing w:after="240" w:line="276" w:lineRule="exact"/>
      </w:pPr>
      <w:r>
        <w:rPr>
          <w:rFonts w:ascii="Times New Roman" w:hAnsi="Times New Roman" w:cs="Times New Roman" w:eastAsia="Times New Roman"/>
          <w:b w:val="0"/>
          <w:i/>
          <w:color w:val="555555"/>
          <w:sz w:val="22"/>
        </w:rPr>
        <w:t>[Avant de déposer, vérifier qu'aucune demande antérieure n'est pendante devant le juge des libertés et de la détention, et qu'aucun appel d'un précédent rejet n'est en cours. Ces deux situations rendent la demande irrecevable de plein droit, sans qu'aucune ordonnance ne le constate. Voir l'encadré en fin de trame.]</w:t>
      </w:r>
    </w:p>
    <w:p>
      <w:pPr>
        <w:pStyle w:val="Heading1"/>
        <w:spacing w:before="240" w:after="120"/>
      </w:pPr>
      <w:r>
        <w:rPr>
          <w:rFonts w:ascii="Times New Roman" w:hAnsi="Times New Roman" w:cs="Times New Roman" w:eastAsia="Times New Roman"/>
          <w:b/>
          <w:i w:val="0"/>
          <w:color w:val="000000"/>
          <w:sz w:val="28"/>
        </w:rPr>
        <w:t>II. Discussion</w:t>
      </w:r>
    </w:p>
    <w:p>
      <w:pPr>
        <w:pStyle w:val="Heading2"/>
        <w:spacing w:before="240" w:after="120"/>
      </w:pPr>
      <w:r>
        <w:rPr>
          <w:rFonts w:ascii="Times New Roman" w:hAnsi="Times New Roman" w:cs="Times New Roman" w:eastAsia="Times New Roman"/>
          <w:b/>
          <w:i w:val="0"/>
          <w:color w:val="000000"/>
          <w:sz w:val="24"/>
        </w:rPr>
        <w:t>A. Sur le principe : la liberté demeure la règle</w:t>
      </w:r>
    </w:p>
    <w:p>
      <w:pPr>
        <w:spacing w:after="240" w:line="276" w:lineRule="exact"/>
      </w:pPr>
      <w:r>
        <w:rPr>
          <w:rFonts w:ascii="Times New Roman" w:hAnsi="Times New Roman" w:cs="Times New Roman" w:eastAsia="Times New Roman"/>
          <w:b w:val="0"/>
          <w:i w:val="0"/>
          <w:sz w:val="24"/>
        </w:rPr>
        <w:t>Aux termes de l'article 137 du Code de procédure pénale, toute personne mise en examen, présumée innocente, demeure libre. Le contrôle judiciaire n'intervient qu'en raison des nécessités de l'instruction ou à titre de mesure de sûreté. L'assignation à résidence avec surveillance électronique suppose que ces obligations se révèlent insuffisantes. La détention provisoire n'est possible qu'à titre exceptionnel, lorsque ces mesures ne permettent pas d'atteindre les objectifs poursuivis.</w:t>
      </w:r>
    </w:p>
    <w:p>
      <w:pPr>
        <w:spacing w:after="240" w:line="276" w:lineRule="exact"/>
      </w:pPr>
      <w:r>
        <w:rPr>
          <w:rFonts w:ascii="Times New Roman" w:hAnsi="Times New Roman" w:cs="Times New Roman" w:eastAsia="Times New Roman"/>
          <w:b w:val="0"/>
          <w:i w:val="0"/>
          <w:sz w:val="24"/>
        </w:rPr>
        <w:t>[Rappeler, le cas échéant, que la peine encourue conditionne la détention provisoire au regard de l'article 143-1 : peine criminelle, ou peine correctionnelle égale ou supérieure à trois ans d'emprisonnement.]</w:t>
      </w:r>
    </w:p>
    <w:p>
      <w:pPr>
        <w:pStyle w:val="Heading2"/>
        <w:spacing w:before="240" w:after="120"/>
      </w:pPr>
      <w:r>
        <w:rPr>
          <w:rFonts w:ascii="Times New Roman" w:hAnsi="Times New Roman" w:cs="Times New Roman" w:eastAsia="Times New Roman"/>
          <w:b/>
          <w:i w:val="0"/>
          <w:color w:val="000000"/>
          <w:sz w:val="24"/>
        </w:rPr>
        <w:t>B. Sur la nécessité de la détention au regard de l'article 144</w:t>
      </w:r>
    </w:p>
    <w:p>
      <w:pPr>
        <w:spacing w:after="240" w:line="276" w:lineRule="exact"/>
      </w:pPr>
      <w:r>
        <w:rPr>
          <w:rFonts w:ascii="Times New Roman" w:hAnsi="Times New Roman" w:cs="Times New Roman" w:eastAsia="Times New Roman"/>
          <w:b w:val="0"/>
          <w:i w:val="0"/>
          <w:sz w:val="24"/>
        </w:rPr>
        <w:t>L'article 144 subordonne la détention provisoire à la démonstration, au regard d'éléments précis et circonstanciés résultant de la procédure, qu'elle constitue l'unique moyen de parvenir à l'un des objectifs qu'il énumère, et que ces objectifs ne sauraient être atteints par un contrôle judiciaire ou une assignation à résidence avec surveillance électronique.</w:t>
      </w:r>
    </w:p>
    <w:p>
      <w:pPr>
        <w:spacing w:after="240" w:line="276" w:lineRule="exact"/>
      </w:pPr>
      <w:r>
        <w:rPr>
          <w:rFonts w:ascii="Times New Roman" w:hAnsi="Times New Roman" w:cs="Times New Roman" w:eastAsia="Times New Roman"/>
          <w:b w:val="0"/>
          <w:i w:val="0"/>
          <w:sz w:val="24"/>
        </w:rPr>
        <w:t>[Reprendre chacun des motifs effectivement retenus par la décision critiquée et démontrer, pour chacun, qu'il n'est plus caractérisé ou qu'il peut être atteint par une mesure moins contraignante.]</w:t>
      </w:r>
    </w:p>
    <w:p>
      <w:pPr>
        <w:pStyle w:val="ListParagraph"/>
        <w:spacing w:after="60"/>
        <w:ind w:left="360"/>
      </w:pPr>
      <w:r>
        <w:rPr>
          <w:rFonts w:ascii="Times New Roman" w:hAnsi="Times New Roman" w:cs="Times New Roman" w:eastAsia="Times New Roman"/>
          <w:b w:val="0"/>
          <w:i w:val="0"/>
          <w:sz w:val="24"/>
        </w:rPr>
        <w:t>• 1° Conservation des preuves ou des indices matériels : [les investigations matérielles sont achevées, les scellés exploités, les expertises déposées].</w:t>
      </w:r>
    </w:p>
    <w:p>
      <w:pPr>
        <w:pStyle w:val="ListParagraph"/>
        <w:spacing w:after="60"/>
        <w:ind w:left="360"/>
      </w:pPr>
      <w:r>
        <w:rPr>
          <w:rFonts w:ascii="Times New Roman" w:hAnsi="Times New Roman" w:cs="Times New Roman" w:eastAsia="Times New Roman"/>
          <w:b w:val="0"/>
          <w:i w:val="0"/>
          <w:sz w:val="24"/>
        </w:rPr>
        <w:t>• 2° Pression sur les témoins ou les victimes : [les témoins ont été entendus, leurs déclarations sont figées, une interdiction de contact suffirait].</w:t>
      </w:r>
    </w:p>
    <w:p>
      <w:pPr>
        <w:pStyle w:val="ListParagraph"/>
        <w:spacing w:after="60"/>
        <w:ind w:left="360"/>
      </w:pPr>
      <w:r>
        <w:rPr>
          <w:rFonts w:ascii="Times New Roman" w:hAnsi="Times New Roman" w:cs="Times New Roman" w:eastAsia="Times New Roman"/>
          <w:b w:val="0"/>
          <w:i w:val="0"/>
          <w:sz w:val="24"/>
        </w:rPr>
        <w:t>• 3° Concertation frauduleuse avec les coauteurs ou complices : [les confrontations ont eu lieu, une interdiction d'entrer en relation suffirait].</w:t>
      </w:r>
    </w:p>
    <w:p>
      <w:pPr>
        <w:pStyle w:val="ListParagraph"/>
        <w:spacing w:after="60"/>
        <w:ind w:left="360"/>
      </w:pPr>
      <w:r>
        <w:rPr>
          <w:rFonts w:ascii="Times New Roman" w:hAnsi="Times New Roman" w:cs="Times New Roman" w:eastAsia="Times New Roman"/>
          <w:b w:val="0"/>
          <w:i w:val="0"/>
          <w:sz w:val="24"/>
        </w:rPr>
        <w:t>• 4° Protection de la personne mise en examen : [motif inopérant en l'espèce].</w:t>
      </w:r>
    </w:p>
    <w:p>
      <w:pPr>
        <w:pStyle w:val="ListParagraph"/>
        <w:spacing w:after="60"/>
        <w:ind w:left="360"/>
      </w:pPr>
      <w:r>
        <w:rPr>
          <w:rFonts w:ascii="Times New Roman" w:hAnsi="Times New Roman" w:cs="Times New Roman" w:eastAsia="Times New Roman"/>
          <w:b w:val="0"/>
          <w:i w:val="0"/>
          <w:sz w:val="24"/>
        </w:rPr>
        <w:t>• 5° Maintien à la disposition de la justice : [garanties de représentation développées au III].</w:t>
      </w:r>
    </w:p>
    <w:p>
      <w:pPr>
        <w:pStyle w:val="ListParagraph"/>
        <w:spacing w:after="60"/>
        <w:ind w:left="360"/>
      </w:pPr>
      <w:r>
        <w:rPr>
          <w:rFonts w:ascii="Times New Roman" w:hAnsi="Times New Roman" w:cs="Times New Roman" w:eastAsia="Times New Roman"/>
          <w:b w:val="0"/>
          <w:i w:val="0"/>
          <w:sz w:val="24"/>
        </w:rPr>
        <w:t>• 6° Cessation de l'infraction ou prévention de son renouvellement : [absence d'antécédent, situation stabilisée].</w:t>
      </w:r>
    </w:p>
    <w:p>
      <w:pPr>
        <w:pStyle w:val="ListParagraph"/>
        <w:spacing w:after="60"/>
        <w:ind w:left="360"/>
      </w:pPr>
      <w:r>
        <w:rPr>
          <w:rFonts w:ascii="Times New Roman" w:hAnsi="Times New Roman" w:cs="Times New Roman" w:eastAsia="Times New Roman"/>
          <w:b w:val="0"/>
          <w:i w:val="0"/>
          <w:sz w:val="24"/>
        </w:rPr>
        <w:t>• 7° Trouble exceptionnel et persistant à l'ordre public : [ce motif n'est pas applicable en matière correctionnelle. En matière criminelle, il ne peut résulter du seul retentissement médiatique de l'affaire, et le trouble doit être actuel].</w:t>
      </w:r>
    </w:p>
    <w:p>
      <w:pPr>
        <w:pStyle w:val="Heading2"/>
        <w:spacing w:before="240" w:after="120"/>
      </w:pPr>
      <w:r>
        <w:rPr>
          <w:rFonts w:ascii="Times New Roman" w:hAnsi="Times New Roman" w:cs="Times New Roman" w:eastAsia="Times New Roman"/>
          <w:b/>
          <w:i w:val="0"/>
          <w:color w:val="000000"/>
          <w:sz w:val="24"/>
        </w:rPr>
        <w:t>C. Sur le caractère suffisant du contrôle judiciaire ou de l'ARSE</w:t>
      </w:r>
    </w:p>
    <w:p>
      <w:pPr>
        <w:spacing w:after="240" w:line="276" w:lineRule="exact"/>
      </w:pPr>
      <w:r>
        <w:rPr>
          <w:rFonts w:ascii="Times New Roman" w:hAnsi="Times New Roman" w:cs="Times New Roman" w:eastAsia="Times New Roman"/>
          <w:b w:val="0"/>
          <w:i w:val="0"/>
          <w:sz w:val="24"/>
        </w:rPr>
        <w:t>L'article 137-3 impose au juge des libertés et de la détention d'énoncer les considérations de droit et de fait sur le caractère insuffisant des obligations du contrôle judiciaire ou de l'assignation à résidence avec surveillance électronique, et de motiver la détention par référence aux seules dispositions des articles 143-1 et 144.</w:t>
      </w:r>
    </w:p>
    <w:p>
      <w:pPr>
        <w:spacing w:after="240" w:line="276" w:lineRule="exact"/>
      </w:pPr>
      <w:r>
        <w:rPr>
          <w:rFonts w:ascii="Times New Roman" w:hAnsi="Times New Roman" w:cs="Times New Roman" w:eastAsia="Times New Roman"/>
          <w:b w:val="0"/>
          <w:i w:val="0"/>
          <w:sz w:val="24"/>
        </w:rPr>
        <w:t>[Proposer des obligations concrètes de l'article 138, précises et vérifiables, qui répondent point par point aux motifs retenus : assignation à un domicile identifié, pointage périodique, remise du passeport, interdiction de paraître, interdiction d'entrer en relation avec les personnes désignées, cautionnement, activité professionnelle.]</w:t>
      </w:r>
    </w:p>
    <w:p>
      <w:pPr>
        <w:spacing w:after="240" w:line="276" w:lineRule="exact"/>
      </w:pPr>
      <w:r>
        <w:rPr>
          <w:rFonts w:ascii="Times New Roman" w:hAnsi="Times New Roman" w:cs="Times New Roman" w:eastAsia="Times New Roman"/>
          <w:b w:val="0"/>
          <w:i w:val="0"/>
          <w:sz w:val="24"/>
        </w:rPr>
        <w:t>[En matière correctionnelle, lorsque la détention excède huit mois, l'article 137-3 exige en outre que la décision s'explique sur le caractère insuffisant de l'assignation à résidence avec surveillance électronique mobile ou du dispositif prévu à l'article 138-3, lorsque cette mesure peut être ordonnée au regard de la nature des faits.]</w:t>
      </w:r>
    </w:p>
    <w:p>
      <w:pPr>
        <w:pStyle w:val="Heading2"/>
        <w:spacing w:before="240" w:after="120"/>
      </w:pPr>
      <w:r>
        <w:rPr>
          <w:rFonts w:ascii="Times New Roman" w:hAnsi="Times New Roman" w:cs="Times New Roman" w:eastAsia="Times New Roman"/>
          <w:b/>
          <w:i w:val="0"/>
          <w:color w:val="000000"/>
          <w:sz w:val="24"/>
        </w:rPr>
        <w:t>D. Sur la durée de la détention (article 144-1)</w:t>
      </w:r>
    </w:p>
    <w:p>
      <w:pPr>
        <w:spacing w:after="240" w:line="276" w:lineRule="exact"/>
      </w:pPr>
      <w:r>
        <w:rPr>
          <w:rFonts w:ascii="Times New Roman" w:hAnsi="Times New Roman" w:cs="Times New Roman" w:eastAsia="Times New Roman"/>
          <w:b w:val="0"/>
          <w:i w:val="0"/>
          <w:sz w:val="24"/>
        </w:rPr>
        <w:t>La détention provisoire ne peut excéder une durée raisonnable au regard de la gravité des faits et de la complexité des investigations. Le juge doit ordonner la mise en liberté immédiate dès que les conditions de l'article 144 ne sont plus remplies.</w:t>
      </w:r>
    </w:p>
    <w:p>
      <w:pPr>
        <w:spacing w:after="240" w:line="276" w:lineRule="exact"/>
      </w:pPr>
      <w:r>
        <w:rPr>
          <w:rFonts w:ascii="Times New Roman" w:hAnsi="Times New Roman" w:cs="Times New Roman" w:eastAsia="Times New Roman"/>
          <w:b w:val="0"/>
          <w:i w:val="0"/>
          <w:sz w:val="24"/>
        </w:rPr>
        <w:t>[Le cas échéant, développer les conditions de détention au regard de l'article 803-8 et de l'article 3 de la Convention européenne des droits de l'homme, en visant des éléments concrets et datés.]</w:t>
      </w:r>
    </w:p>
    <w:p>
      <w:pPr>
        <w:pStyle w:val="Heading1"/>
        <w:spacing w:before="240" w:after="120"/>
      </w:pPr>
      <w:r>
        <w:rPr>
          <w:rFonts w:ascii="Times New Roman" w:hAnsi="Times New Roman" w:cs="Times New Roman" w:eastAsia="Times New Roman"/>
          <w:b/>
          <w:i w:val="0"/>
          <w:color w:val="000000"/>
          <w:sz w:val="28"/>
        </w:rPr>
        <w:t>III. Sur les garanties de représentation offertes</w:t>
      </w:r>
    </w:p>
    <w:p>
      <w:pPr>
        <w:spacing w:after="240" w:line="276" w:lineRule="exact"/>
      </w:pPr>
      <w:r>
        <w:rPr>
          <w:rFonts w:ascii="Times New Roman" w:hAnsi="Times New Roman" w:cs="Times New Roman" w:eastAsia="Times New Roman"/>
          <w:b w:val="0"/>
          <w:i w:val="0"/>
          <w:sz w:val="24"/>
        </w:rPr>
        <w:t>[Domicile stable et justifié : joindre le titre de propriété, le bail ou l'attestation d'hébergement. Situation professionnelle : joindre la promesse d'embauche ou le contrat. Situation familiale : joindre les justificatifs. Absence d'antécédent judiciaire ou casier compatible. Cautionnement proposé. Le cas échéant, prise en charge médicale ou sociale. Viser les pièces jointes numérotées.]</w:t>
      </w:r>
    </w:p>
    <w:p>
      <w:pPr>
        <w:spacing w:after="120" w:before="240" w:line="276" w:lineRule="exact"/>
        <w:jc w:val="center"/>
      </w:pPr>
      <w:r>
        <w:rPr>
          <w:rFonts w:ascii="Times New Roman" w:hAnsi="Times New Roman" w:cs="Times New Roman" w:eastAsia="Times New Roman"/>
          <w:b/>
          <w:i w:val="0"/>
          <w:sz w:val="24"/>
        </w:rPr>
        <w:t>PAR CES MOTIFS</w:t>
      </w:r>
    </w:p>
    <w:p>
      <w:pPr>
        <w:spacing w:after="240" w:line="276" w:lineRule="exact"/>
      </w:pPr>
      <w:r>
        <w:rPr>
          <w:rFonts w:ascii="Times New Roman" w:hAnsi="Times New Roman" w:cs="Times New Roman" w:eastAsia="Times New Roman"/>
          <w:b w:val="0"/>
          <w:i w:val="0"/>
          <w:sz w:val="24"/>
        </w:rPr>
        <w:t>Vu les articles 137, 138, 143-1, 144, 144-1, 148 et 148-6 du Code de procédure pénale,</w:t>
      </w:r>
    </w:p>
    <w:p>
      <w:pPr>
        <w:spacing w:after="240" w:line="276" w:lineRule="exact"/>
      </w:pPr>
      <w:r>
        <w:rPr>
          <w:rFonts w:ascii="Times New Roman" w:hAnsi="Times New Roman" w:cs="Times New Roman" w:eastAsia="Times New Roman"/>
          <w:b w:val="0"/>
          <w:i w:val="0"/>
          <w:sz w:val="24"/>
        </w:rPr>
        <w:t>[Le demandeur] sollicite qu'il plaise :</w:t>
      </w:r>
    </w:p>
    <w:p>
      <w:pPr>
        <w:pStyle w:val="ListParagraph"/>
        <w:spacing w:after="60"/>
        <w:ind w:left="360"/>
      </w:pPr>
      <w:r>
        <w:rPr>
          <w:rFonts w:ascii="Times New Roman" w:hAnsi="Times New Roman" w:cs="Times New Roman" w:eastAsia="Times New Roman"/>
          <w:b w:val="0"/>
          <w:i w:val="0"/>
          <w:sz w:val="24"/>
        </w:rPr>
        <w:t>• ORDONNER la mise en liberté de [Nom, prénom] ;</w:t>
      </w:r>
    </w:p>
    <w:p>
      <w:pPr>
        <w:pStyle w:val="ListParagraph"/>
        <w:spacing w:after="60"/>
        <w:ind w:left="360"/>
      </w:pPr>
      <w:r>
        <w:rPr>
          <w:rFonts w:ascii="Times New Roman" w:hAnsi="Times New Roman" w:cs="Times New Roman" w:eastAsia="Times New Roman"/>
          <w:b w:val="0"/>
          <w:i w:val="0"/>
          <w:sz w:val="24"/>
        </w:rPr>
        <w:t>• À titre subsidiaire, ORDONNER sa mise en liberté sous contrôle judiciaire assorti des obligations suivantes : [liste précise, par référence aux 1° et suivants de l'article 138] ;</w:t>
      </w:r>
    </w:p>
    <w:p>
      <w:pPr>
        <w:pStyle w:val="ListParagraph"/>
        <w:spacing w:after="60"/>
        <w:ind w:left="360"/>
      </w:pPr>
      <w:r>
        <w:rPr>
          <w:rFonts w:ascii="Times New Roman" w:hAnsi="Times New Roman" w:cs="Times New Roman" w:eastAsia="Times New Roman"/>
          <w:b w:val="0"/>
          <w:i w:val="0"/>
          <w:sz w:val="24"/>
        </w:rPr>
        <w:t>• À titre infiniment subsidiaire, ORDONNER son assignation à résidence avec surveillance électronique à l'adresse suivante : [adresse].</w:t>
      </w:r>
    </w:p>
    <w:p>
      <w:pPr>
        <w:spacing w:after="240" w:line="276" w:lineRule="exact"/>
      </w:pPr>
      <w:r>
        <w:rPr>
          <w:rFonts w:ascii="Times New Roman" w:hAnsi="Times New Roman" w:cs="Times New Roman" w:eastAsia="Times New Roman"/>
          <w:b w:val="0"/>
          <w:i w:val="0"/>
          <w:sz w:val="24"/>
        </w:rPr>
        <w:t>Sous toutes réserves.</w:t>
      </w:r>
    </w:p>
    <w:p>
      <w:pPr>
        <w:spacing w:after="240" w:line="276" w:lineRule="exact"/>
      </w:pPr>
      <w:r>
        <w:rPr>
          <w:rFonts w:ascii="Times New Roman" w:hAnsi="Times New Roman" w:cs="Times New Roman" w:eastAsia="Times New Roman"/>
          <w:b w:val="0"/>
          <w:i w:val="0"/>
          <w:sz w:val="24"/>
        </w:rPr>
        <w:t>Fait à [ville], le [date].</w:t>
      </w:r>
    </w:p>
    <w:p>
      <w:pPr>
        <w:spacing w:after="0"/>
      </w:pPr>
      <w:r>
        <w:rPr>
          <w:rFonts w:ascii="Times New Roman" w:hAnsi="Times New Roman" w:cs="Times New Roman" w:eastAsia="Times New Roman"/>
          <w:b w:val="0"/>
          <w:i w:val="0"/>
          <w:sz w:val="24"/>
        </w:rPr>
        <w:t>Maître [Nom]</w:t>
      </w:r>
    </w:p>
    <w:p>
      <w:pPr>
        <w:spacing w:after="240"/>
      </w:pPr>
      <w:r>
        <w:rPr>
          <w:rFonts w:ascii="Times New Roman" w:hAnsi="Times New Roman" w:cs="Times New Roman" w:eastAsia="Times New Roman"/>
          <w:b w:val="0"/>
          <w:i w:val="0"/>
          <w:sz w:val="24"/>
        </w:rPr>
        <w:t>Avocat au barreau de [ville]</w:t>
      </w:r>
    </w:p>
    <w:p>
      <w:pPr>
        <w:spacing w:after="40" w:before="120" w:line="276" w:lineRule="exact"/>
        <w:pBdr>
          <w:top w:val="single" w:color="888888" w:sz="6" w:space="8"/>
          <w:left w:val="single" w:color="888888" w:sz="6" w:space="8"/>
          <w:bottom w:val="single" w:color="888888" w:sz="6" w:space="8"/>
          <w:right w:val="single" w:color="888888" w:sz="6" w:space="8"/>
        </w:pBdr>
      </w:pPr>
      <w:r>
        <w:rPr>
          <w:rFonts w:ascii="Times New Roman" w:hAnsi="Times New Roman" w:cs="Times New Roman" w:eastAsia="Times New Roman"/>
          <w:b/>
          <w:i w:val="0"/>
          <w:sz w:val="22"/>
        </w:rPr>
        <w:t>À vérifier avant dépôt (recevabilité et délais)</w:t>
      </w:r>
    </w:p>
    <w:p>
      <w:pPr>
        <w:pStyle w:val="ListParagraph"/>
        <w:spacing w:after="60"/>
        <w:ind w:left="360"/>
      </w:pPr>
      <w:r>
        <w:rPr>
          <w:rFonts w:ascii="Times New Roman" w:hAnsi="Times New Roman" w:cs="Times New Roman" w:eastAsia="Times New Roman"/>
          <w:b w:val="0"/>
          <w:i w:val="0"/>
          <w:sz w:val="22"/>
        </w:rPr>
        <w:t>• Déclaration au greffier de la juridiction d'instruction saisie, constatée, datée et signée par le greffier ainsi que par le demandeur ou son avocat (art. 148-6).</w:t>
      </w:r>
    </w:p>
    <w:p>
      <w:pPr>
        <w:pStyle w:val="ListParagraph"/>
        <w:spacing w:after="60"/>
        <w:ind w:left="360"/>
      </w:pPr>
      <w:r>
        <w:rPr>
          <w:rFonts w:ascii="Times New Roman" w:hAnsi="Times New Roman" w:cs="Times New Roman" w:eastAsia="Times New Roman"/>
          <w:b w:val="0"/>
          <w:i w:val="0"/>
          <w:sz w:val="22"/>
        </w:rPr>
        <w:t>• Demande dépourvue d'ambiguïté : le seul visa d'articles au fil d'un mémoire ne vaut pas demande de mise en liberté au sens de l'article 148-6.</w:t>
      </w:r>
    </w:p>
    <w:p>
      <w:pPr>
        <w:pStyle w:val="ListParagraph"/>
        <w:spacing w:after="60"/>
        <w:ind w:left="360"/>
      </w:pPr>
      <w:r>
        <w:rPr>
          <w:rFonts w:ascii="Times New Roman" w:hAnsi="Times New Roman" w:cs="Times New Roman" w:eastAsia="Times New Roman"/>
          <w:b w:val="0"/>
          <w:i w:val="0"/>
          <w:sz w:val="22"/>
        </w:rPr>
        <w:t>• IRRECEVABILITÉ : aucune demande ne peut être formée tant que le JLD n'a pas statué sur une précédente demande. Elle joue de plein droit, sans ordonnance du juge d'instruction (art. 148, al. 1er).</w:t>
      </w:r>
    </w:p>
    <w:p>
      <w:pPr>
        <w:pStyle w:val="ListParagraph"/>
        <w:spacing w:after="60"/>
        <w:ind w:left="360"/>
      </w:pPr>
      <w:r>
        <w:rPr>
          <w:rFonts w:ascii="Times New Roman" w:hAnsi="Times New Roman" w:cs="Times New Roman" w:eastAsia="Times New Roman"/>
          <w:b w:val="0"/>
          <w:i w:val="0"/>
          <w:sz w:val="22"/>
        </w:rPr>
        <w:t>• IRRECEVABILITÉ NOUVELLE (loi du 13 juin 2025) : aucune demande ne peut être formée tant qu'il n'a pas été statué sur l'appel du rejet d'une précédente demande, et ce jusqu'à la date de la décision de la chambre de l'instruction. Auparavant, l'appel pendant suspendait seulement le point de départ des délais sans rendre la demande irrecevable.</w:t>
      </w:r>
    </w:p>
    <w:p>
      <w:pPr>
        <w:pStyle w:val="ListParagraph"/>
        <w:spacing w:after="60"/>
        <w:ind w:left="360"/>
      </w:pPr>
      <w:r>
        <w:rPr>
          <w:rFonts w:ascii="Times New Roman" w:hAnsi="Times New Roman" w:cs="Times New Roman" w:eastAsia="Times New Roman"/>
          <w:b w:val="0"/>
          <w:i w:val="0"/>
          <w:sz w:val="22"/>
        </w:rPr>
        <w:t>• DÉLAIS ALLONGÉS PAR LA LOI DU 13 JUIN 2025 : le juge d'instruction transmet au JLD, avec avis motivé, dans les 10 jours de la communication au procureur (5 jours auparavant). Le JLD statue dans les 5 jours ouvrables (3 jours ouvrables auparavant).</w:t>
      </w:r>
    </w:p>
    <w:p>
      <w:pPr>
        <w:pStyle w:val="ListParagraph"/>
        <w:spacing w:after="60"/>
        <w:ind w:left="360"/>
      </w:pPr>
      <w:r>
        <w:rPr>
          <w:rFonts w:ascii="Times New Roman" w:hAnsi="Times New Roman" w:cs="Times New Roman" w:eastAsia="Times New Roman"/>
          <w:b w:val="0"/>
          <w:i w:val="0"/>
          <w:sz w:val="22"/>
        </w:rPr>
        <w:t>• À défaut de décision du JLD dans ce délai : saisine directe de la chambre de l'instruction, qui se prononce dans les 30 jours de la réception de la demande (20 jours de sa saisine auparavant), faute de quoi mise en liberté d'office sauf vérifications ordonnées.</w:t>
      </w:r>
    </w:p>
    <w:p>
      <w:pPr>
        <w:spacing w:after="0" w:before="200" w:line="276" w:lineRule="exact"/>
      </w:pPr>
      <w:r>
        <w:rPr>
          <w:rFonts w:ascii="Times New Roman" w:hAnsi="Times New Roman" w:cs="Times New Roman" w:eastAsia="Times New Roman"/>
          <w:b w:val="0"/>
          <w:i/>
          <w:color w:val="777777"/>
          <w:sz w:val="18"/>
        </w:rPr>
        <w:t>Trame proposée par Lexium, à adapter à chaque dossier. Elle ne dispense pas de l'appréciation du praticien. lexium-app.com</w:t>
      </w:r>
    </w:p>
    <w:sectPr>
      <w:pgSz w:w="11906" w:h="16838" w:orient="portrait"/>
      <w:pgMar w:top="1134" w:right="1418"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Times New Roman" w:cs="Times New Roman" w:eastAsia="Times New Roman" w:hAnsi="Times New Roman"/>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120" w:before="240"/>
    </w:pPr>
    <w:rPr>
      <w:rFonts w:ascii="Times New Roman" w:cs="Times New Roman" w:eastAsia="Times New Roman" w:hAnsi="Times New Roman"/>
      <w:b/>
      <w:bCs/>
      <w:color w:val="000000"/>
      <w:sz w:val="28"/>
      <w:szCs w:val="28"/>
    </w:rPr>
  </w:style>
  <w:style w:type="paragraph" w:styleId="Heading2">
    <w:name w:val="Heading 2"/>
    <w:basedOn w:val="Normal"/>
    <w:next w:val="Normal"/>
    <w:qFormat/>
    <w:pPr>
      <w:spacing w:after="80" w:before="160"/>
    </w:pPr>
    <w:rPr>
      <w:rFonts w:ascii="Times New Roman" w:cs="Times New Roman" w:eastAsia="Times New Roman" w:hAnsi="Times New Roman"/>
      <w:b/>
      <w:bCs/>
      <w:color w:val="000000"/>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2026-07-13T16:43:40.041Z</dcterms:created>
  <dcterms:modified xsi:type="dcterms:W3CDTF">2026-07-13T16:43:40.053Z</dcterms:modified>
</cp:coreProperties>
</file>

<file path=docProps/custom.xml><?xml version="1.0" encoding="utf-8"?>
<Properties xmlns="http://schemas.openxmlformats.org/officeDocument/2006/custom-properties" xmlns:vt="http://schemas.openxmlformats.org/officeDocument/2006/docPropsVTypes"/>
</file>